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spacing w:after="120"/>
        <w:jc w:val="center"/>
      </w:pPr>
      <w:commentRangeStart w:id="0"/>
      <w:r>
        <w:rPr>
          <w:rFonts w:ascii="Arial" w:cs="Arial" w:eastAsia="Arial" w:hAnsi="Arial"/>
          <w:b/>
          <w:bCs/>
          <w:color w:val="1F4E79"/>
          <w:sz w:val="44"/>
          <w:szCs w:val="44"/>
        </w:rPr>
        <w:t xml:space="preserve">STANDARD OPERATING PROCEDURE</w:t>
      </w:r>
      <w:commentRangeEnd w:id="0"/>
      <w:r>
        <w:rPr>
          <w:rStyle w:val="CommentReference"/>
        </w:rPr>
        <w:commentReference w:id="0"/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2E75B6"/>
          <w:sz w:val="48"/>
          <w:szCs w:val="48"/>
        </w:rPr>
        <w:t xml:space="preserve">Order Return &amp; Refund Processing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595959"/>
          <w:sz w:val="26"/>
          <w:szCs w:val="26"/>
        </w:rPr>
        <w:t xml:space="preserve">Inspection, Eligibility Review, Refund &amp; Resolution</w:t>
      </w:r>
    </w:p>
    <w:p>
      <w:pPr>
        <w:spacing w:before="600"/>
      </w:pPr>
    </w:p>
    <w:tbl>
      <w:tblPr>
        <w:tblW w:type="dxa" w:w="72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Document No.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SOP-VA-RET-001</w:t>
            </w:r>
          </w:p>
        </w:tc>
      </w:tr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Version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Effective Date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Demo build — July 2026</w:t>
            </w:r>
          </w:p>
        </w:tc>
      </w:tr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Company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Bloom &amp; Basket Co. (fictional)</w:t>
            </w:r>
          </w:p>
        </w:tc>
      </w:tr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Michael Abat, Operations &amp; Process VA</w:t>
            </w:r>
          </w:p>
        </w:tc>
      </w:tr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Reviewed By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[Self-reviewed — demo project]</w:t>
            </w:r>
          </w:p>
        </w:tc>
      </w:tr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[Fictional Client — not applicable]</w:t>
            </w:r>
          </w:p>
        </w:tc>
      </w:tr>
      <w:tr>
        <w:tc>
          <w:tcPr>
            <w:tcW w:type="dxa" w:w="2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4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 months from effective date</w:t>
            </w:r>
          </w:p>
        </w:tc>
      </w:tr>
    </w:tbl>
    <w:p>
      <w:pPr>
        <w:spacing w:after="1200"/>
      </w:pPr>
    </w:p>
    <w:p>
      <w:pPr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DEMO COPY ONLY — SELF-INITIATED DEMONSTRATION PROJECT. Bloom &amp; Basket Co. is a fictional company created to show a realistic order return and refund process. No real client, data, or business is involved.</w:t>
      </w:r>
    </w:p>
    <w:p>
      <w:r>
        <w:br w:type="page"/>
      </w:r>
    </w:p>
    <w:p>
      <w:pPr>
        <w:pBdr>
          <w:bottom w:val="single" w:color="2E75B6" w:sz="6" w:space="4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Purpose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This Standard Operating Procedure (SOP) defines the process for handling customer order returns and refunds at Bloom &amp; Basket Co. It applies to a small e-commerce operation seeking a consistent, well-documented returns process.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procedure ensures that: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Every returned item is inspected and logged the same way.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Two built-in quality checkpoints catch mismatched or incorrect refunds before processing.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Each return is tracked from receipt to resolution.</w:t>
      </w:r>
    </w:p>
    <w:p>
      <w:pPr>
        <w:pBdr>
          <w:bottom w:val="single" w:color="2E75B6" w:sz="6" w:space="4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Scope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This SOP applies to: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Fulfillment Associates who receive and inspect returned items.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Returns Specialists who review eligibility, process refunds, and close the return.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This SOP does not cover: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Warranty claims for manufacturer defects (separate process).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Exchanges for a different size or color (separate process).</w:t>
      </w:r>
    </w:p>
    <w:p>
      <w:pPr>
        <w:pBdr>
          <w:bottom w:val="single" w:color="2E75B6" w:sz="6" w:space="4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Roles &amp; Responsibilities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624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W w:type="dxa" w:w="31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Fulfillment Associate</w:t>
            </w:r>
          </w:p>
        </w:tc>
        <w:tc>
          <w:tcPr>
            <w:tcW w:type="dxa" w:w="62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Receives returned items, inspects condition, and logs details in the tracker.</w:t>
            </w:r>
          </w:p>
        </w:tc>
      </w:tr>
      <w:tr>
        <w:tc>
          <w:tcPr>
            <w:tcW w:type="dxa" w:w="31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Returns Specialist</w:t>
            </w:r>
          </w:p>
        </w:tc>
        <w:tc>
          <w:tcPr>
            <w:tcW w:type="dxa" w:w="62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Reviews return eligibility, verifies refund amounts, and processes resolution.</w:t>
            </w:r>
          </w:p>
        </w:tc>
      </w:tr>
    </w:tbl>
    <w:p>
      <w:r>
        <w:br w:type="page"/>
      </w:r>
    </w:p>
    <w:p>
      <w:pPr>
        <w:pBdr>
          <w:bottom w:val="single" w:color="2E75B6" w:sz="6" w:space="4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Process Flow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diagram below shows the full returns process across both roles, including the two quality checkpoints.</w:t>
      </w:r>
    </w:p>
    <w:p>
      <w:pPr>
        <w:spacing w:after="200" w:before="200"/>
        <w:jc w:val="center"/>
      </w:pPr>
      <w:r>
        <w:drawing>
          <wp:inline distT="0" distB="0" distL="0" distR="0">
            <wp:extent cx="5905500" cy="4679349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67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Bdr>
          <w:bottom w:val="single" w:color="2E75B6" w:sz="6" w:space="4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Procedure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5.1 Return Receipt &amp; Inspection (Fulfillment Associate)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Receive the returned package at the dock.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Inspect the item condition against the customer's stated return reason.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Log the order ID, item, and condition notes in the returns tracker. (Quality Checkpoint 1)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If the return details are incomplete, re-inspect the item and log it again. If they are still incomplete on the second check, stop and escalate to the Returns Specialist.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Notify the Returns Specialist and forward the return packet.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5.2 Eligibility Review &amp; Resolution (Returns Specialist)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Review the return against the eligibility window and condition policy.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Verify the refund amount matches the original order total. (Quality Checkpoint 2)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If the amount does not match, recheck the original order before processing. If it still does not match, stop and escalate to Finance.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Process the refund to the original payment method or issue store credit.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Send the customer a confirmation email with the refund details.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Log the resolution notes and mark the return as closed in the tracker.</w:t>
      </w:r>
    </w:p>
    <w:p>
      <w:pPr>
        <w:pBdr>
          <w:bottom w:val="single" w:color="2E75B6" w:sz="6" w:space="4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Common Errors &amp; Prevention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Common Error</w:t>
            </w:r>
          </w:p>
        </w:tc>
        <w:tc>
          <w:tcPr>
            <w:tcW w:type="dxa" w:w="468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Prevention</w:t>
            </w:r>
          </w:p>
        </w:tc>
      </w:tr>
      <w:tr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Refund amount does not match order total</w:t>
            </w:r>
          </w:p>
        </w:tc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Verify refund against the original order total before processing — mandatory checkpoint.</w:t>
            </w:r>
          </w:p>
        </w:tc>
      </w:tr>
      <w:tr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Return accepted outside the eligibility window</w:t>
            </w:r>
          </w:p>
        </w:tc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Tracker flags return date against the policy window automatically.</w:t>
            </w:r>
          </w:p>
        </w:tc>
      </w:tr>
      <w:tr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not notified of refund status</w:t>
            </w:r>
          </w:p>
        </w:tc>
        <w:tc>
          <w:tcPr>
            <w:tcW w:type="dxa" w:w="46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Confirmation email is a required step before the return can be closed.</w:t>
            </w:r>
          </w:p>
        </w:tc>
      </w:tr>
    </w:tbl>
    <w:p>
      <w:pPr>
        <w:pBdr>
          <w:bottom w:val="single" w:color="2E75B6" w:sz="6" w:space="4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7. Revision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2880"/>
        <w:gridCol w:w="2880"/>
      </w:tblGrid>
      <w:tr>
        <w:tc>
          <w:tcPr>
            <w:tcW w:type="dxa" w:w="180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180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88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80"/>
            <w:tcBorders>
              <w:top w:val="single" w:color="2E75B6" w:sz="2"/>
              <w:left w:val="single" w:color="2E75B6" w:sz="2"/>
              <w:bottom w:val="single" w:color="2E75B6" w:sz="2"/>
              <w:right w:val="single" w:color="2E75B6" w:sz="2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</w:tr>
      <w:tr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July 2026</w:t>
            </w:r>
          </w:p>
        </w:tc>
        <w:tc>
          <w:tcPr>
            <w:tcW w:type="dxa" w:w="28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Initial demo release</w:t>
            </w:r>
          </w:p>
        </w:tc>
        <w:tc>
          <w:tcPr>
            <w:tcW w:type="dxa" w:w="28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Michael Abat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0" w:author="Claude" w:date="2026-07-06T10:40:45Z" w:initials="C">
    <w:p w14:paraId="6C8290AD" w14:textId="7777777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DEMO COPY ONLY — Bloom &amp; Basket Co. is a fictional company. This is a self-initiated portfolio demo, not a real client engagement.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8290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r="http://schemas.microsoft.com/office/comments/2020/reactions" mc:Ignorable="w14 w15 w16se w16cid w16 w16cex w16sdtdh w16sdtfl cr w16du wp14">
  <w16cex:commentExtensible w16cex:durableId="57317DED" w16cex:dateUtc="2026-07-06T10:40:45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8290AD" w16cid:durableId="57317D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595959"/>
        <w:sz w:val="13"/>
        <w:szCs w:val="13"/>
      </w:rPr>
      <w:t xml:space="preserve">DEMO COPY ONLY — Bloom &amp; Basket Co. is a fictional company. Not a real client engagement.     </w:t>
    </w:r>
    <w:r>
      <w:rPr>
        <w:rFonts w:ascii="Arial" w:cs="Arial" w:eastAsia="Arial" w:hAnsi="Arial"/>
        <w:color w:val="595959"/>
        <w:sz w:val="14"/>
        <w:szCs w:val="14"/>
      </w:rPr>
      <w:t xml:space="preserve">Page </w:t>
    </w:r>
    <w:r>
      <w:rPr>
        <w:rFonts w:ascii="Arial" w:cs="Arial" w:eastAsia="Arial" w:hAnsi="Arial"/>
        <w:color w:val="59595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95959"/>
        <w:sz w:val="14"/>
        <w:szCs w:val="14"/>
      </w:rPr>
      <w:t xml:space="preserve"> of </w:t>
    </w:r>
    <w:r>
      <w:rPr>
        <w:rFonts w:ascii="Arial" w:cs="Arial" w:eastAsia="Arial" w:hAnsi="Arial"/>
        <w:color w:val="59595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color w:val="595959"/>
        <w:sz w:val="16"/>
        <w:szCs w:val="16"/>
      </w:rPr>
      <w:t xml:space="preserve">SOP-VA-RET-001 | Order Return &amp; Refund Processing   Version 1.0  |  Demo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00926e6fc012b1d74ced425ec658d7594c8560f6.png"/><Relationship Id="rId10" Type="http://schemas.openxmlformats.org/officeDocument/2006/relationships/fontTable" Target="fontTable.xml"/><Relationship Id="rId11" Type="http://schemas.microsoft.com/office/2011/relationships/commentsExtended" Target="commentsExtended.xml"/><Relationship Id="rId12" Type="http://schemas.microsoft.com/office/2016/09/relationships/commentsIds" Target="commentsIds.xml"/><Relationship Id="rId13" Type="http://schemas.microsoft.com/office/2018/08/relationships/commentsExtensible" Target="commentsExtensi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2026-07-06T10:40:37.497Z</dcterms:created>
  <dcterms:modified xsi:type="dcterms:W3CDTF">2026-07-06T10:40:37.497Z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